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C9" w:rsidRDefault="00B40BC9" w:rsidP="00B40BC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BANDO PER L’ASSEGNAZIONE IN CONCESSIONE DI AREE PER LA COSTRUZIONE DI</w:t>
      </w:r>
    </w:p>
    <w:p w:rsidR="00B40BC9" w:rsidRDefault="00B40BC9" w:rsidP="00B40BC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>
        <w:rPr>
          <w:rFonts w:ascii="Tahoma,Bold" w:hAnsi="Tahoma,Bold" w:cs="Tahoma,Bold"/>
          <w:b/>
          <w:bCs/>
        </w:rPr>
        <w:t>CAMPI RISERVATI D’INUMAZIONE, DI TOMBE EPIGEE, DI CAPPELLE PERIMETRALI ED</w:t>
      </w:r>
    </w:p>
    <w:p w:rsidR="00B40BC9" w:rsidRDefault="00B40BC9" w:rsidP="00B40BC9">
      <w:pPr>
        <w:jc w:val="center"/>
        <w:rPr>
          <w:b/>
          <w:sz w:val="24"/>
          <w:szCs w:val="24"/>
        </w:rPr>
      </w:pPr>
      <w:r>
        <w:rPr>
          <w:rFonts w:ascii="Tahoma,Bold" w:hAnsi="Tahoma,Bold" w:cs="Tahoma,Bold"/>
          <w:b/>
          <w:bCs/>
        </w:rPr>
        <w:t>INTERNE E DI N. 1 CAPPELLA MONUMENTALE ISOLATA</w:t>
      </w:r>
    </w:p>
    <w:p w:rsidR="0021424C" w:rsidRPr="0021424C" w:rsidRDefault="0021424C" w:rsidP="00B40B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FAQ</w:t>
      </w:r>
    </w:p>
    <w:p w:rsidR="0021424C" w:rsidRDefault="0021424C" w:rsidP="00BB4B8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Bando prevede la possibilità che un soggetto possa proporre istanza per più tipologie di aree; è necessario presentare istanze separate e versare la caparra del 10% del valore del canone di locazione per ogni tipologia di area per la quale si concorre?</w:t>
      </w:r>
    </w:p>
    <w:p w:rsidR="0021424C" w:rsidRPr="00DE79C3" w:rsidRDefault="0021424C" w:rsidP="00BB4B80">
      <w:pPr>
        <w:pStyle w:val="Paragrafoelenco"/>
        <w:spacing w:after="0"/>
        <w:ind w:left="360"/>
        <w:jc w:val="both"/>
        <w:rPr>
          <w:b/>
          <w:sz w:val="24"/>
          <w:szCs w:val="24"/>
        </w:rPr>
      </w:pPr>
      <w:r w:rsidRPr="00DE79C3">
        <w:rPr>
          <w:b/>
          <w:sz w:val="24"/>
          <w:szCs w:val="24"/>
        </w:rPr>
        <w:t>Si, le istanze devono essere separate ed ognuna corredata dall’apposita ricevuta di versamento comprovante il deposito della cauzione del 10% del valore del canone di locazione dell’area per la quale si concorre.</w:t>
      </w:r>
    </w:p>
    <w:p w:rsidR="0021424C" w:rsidRDefault="0021424C" w:rsidP="00BB4B80">
      <w:pPr>
        <w:pStyle w:val="Paragrafoelenco"/>
        <w:spacing w:after="0"/>
        <w:ind w:left="360"/>
        <w:jc w:val="both"/>
        <w:rPr>
          <w:sz w:val="24"/>
          <w:szCs w:val="24"/>
        </w:rPr>
      </w:pPr>
    </w:p>
    <w:p w:rsidR="0021424C" w:rsidRDefault="0021424C" w:rsidP="00BB4B8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tabella </w:t>
      </w:r>
      <w:r w:rsidR="00C63ECD">
        <w:rPr>
          <w:sz w:val="24"/>
          <w:szCs w:val="24"/>
        </w:rPr>
        <w:t xml:space="preserve">indicante le tipologie di aree </w:t>
      </w:r>
      <w:r>
        <w:rPr>
          <w:sz w:val="24"/>
          <w:szCs w:val="24"/>
        </w:rPr>
        <w:t>contenuta nel Bando non coincide completamente con l’allegato A dello stesso bando in quanto nella prima non è presente la colonna relativa alla maggiorazione del canone per la realizzazione, laddove prevista, della cripta; quale è la tabella corretta?</w:t>
      </w:r>
    </w:p>
    <w:p w:rsidR="0021424C" w:rsidRDefault="0021424C" w:rsidP="00BB4B80">
      <w:pPr>
        <w:pStyle w:val="Paragrafoelenco"/>
        <w:ind w:left="360"/>
        <w:jc w:val="both"/>
        <w:rPr>
          <w:b/>
          <w:sz w:val="24"/>
          <w:szCs w:val="24"/>
        </w:rPr>
      </w:pPr>
      <w:r w:rsidRPr="00DE79C3">
        <w:rPr>
          <w:b/>
          <w:sz w:val="24"/>
          <w:szCs w:val="24"/>
        </w:rPr>
        <w:t>La tabella corretta a cui fare riferimento nel pagamento della cauzione del 10% del valore del canone di locazione dell’area per la quale si concorre e nel suc</w:t>
      </w:r>
      <w:r w:rsidR="00DE79C3" w:rsidRPr="00DE79C3">
        <w:rPr>
          <w:b/>
          <w:sz w:val="24"/>
          <w:szCs w:val="24"/>
        </w:rPr>
        <w:t>cessivo, per chi dovesse risultare assegnatario di area, pagamento dell’intero ammontare del canone di concessione è la tabella contenuta nell’allegato A del bando.</w:t>
      </w:r>
    </w:p>
    <w:p w:rsidR="00DE79C3" w:rsidRDefault="00DE79C3" w:rsidP="00BB4B80">
      <w:pPr>
        <w:pStyle w:val="Paragrafoelenco"/>
        <w:ind w:left="360"/>
        <w:jc w:val="both"/>
        <w:rPr>
          <w:b/>
          <w:sz w:val="24"/>
          <w:szCs w:val="24"/>
        </w:rPr>
      </w:pPr>
    </w:p>
    <w:p w:rsidR="00DE79C3" w:rsidRDefault="00DE79C3" w:rsidP="00BB4B8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Bando in alcune parti si riferisce agli istanti definendoli “offerenti”</w:t>
      </w:r>
      <w:r w:rsidR="00C63ECD">
        <w:rPr>
          <w:sz w:val="24"/>
          <w:szCs w:val="24"/>
        </w:rPr>
        <w:t xml:space="preserve"> </w:t>
      </w:r>
      <w:r w:rsidR="00D46354">
        <w:rPr>
          <w:sz w:val="24"/>
          <w:szCs w:val="24"/>
        </w:rPr>
        <w:t>o parla di presentazione di offerta/e</w:t>
      </w:r>
      <w:r w:rsidR="00C63ECD">
        <w:rPr>
          <w:sz w:val="24"/>
          <w:szCs w:val="24"/>
        </w:rPr>
        <w:t>; queste definizioni sono da considerarsi</w:t>
      </w:r>
      <w:r>
        <w:rPr>
          <w:sz w:val="24"/>
          <w:szCs w:val="24"/>
        </w:rPr>
        <w:t xml:space="preserve"> un refuso?</w:t>
      </w:r>
    </w:p>
    <w:p w:rsidR="00DE79C3" w:rsidRDefault="00DE79C3" w:rsidP="00BB4B80">
      <w:pPr>
        <w:pStyle w:val="Paragrafoelenc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Si, si tratta di un refuso in quanto gli istanti non propongono all’Amministrazione alcuna offerta poiché i canoni di concessione sono già stabiliti in sede di bando e </w:t>
      </w:r>
      <w:r w:rsidR="00C63ECD">
        <w:rPr>
          <w:b/>
          <w:sz w:val="24"/>
          <w:szCs w:val="24"/>
        </w:rPr>
        <w:t>non saranno modificati, oltretutto non è prevista l’</w:t>
      </w:r>
      <w:r>
        <w:rPr>
          <w:b/>
          <w:sz w:val="24"/>
          <w:szCs w:val="24"/>
        </w:rPr>
        <w:t xml:space="preserve"> </w:t>
      </w:r>
      <w:r w:rsidR="00D46354">
        <w:rPr>
          <w:b/>
          <w:sz w:val="24"/>
          <w:szCs w:val="24"/>
        </w:rPr>
        <w:t>attribu</w:t>
      </w:r>
      <w:r w:rsidR="00C63ECD">
        <w:rPr>
          <w:b/>
          <w:sz w:val="24"/>
          <w:szCs w:val="24"/>
        </w:rPr>
        <w:t>zione</w:t>
      </w:r>
      <w:r w:rsidR="00D46354">
        <w:rPr>
          <w:b/>
          <w:sz w:val="24"/>
          <w:szCs w:val="24"/>
        </w:rPr>
        <w:t xml:space="preserve"> </w:t>
      </w:r>
      <w:r w:rsidR="00C63ECD">
        <w:rPr>
          <w:b/>
          <w:sz w:val="24"/>
          <w:szCs w:val="24"/>
        </w:rPr>
        <w:t xml:space="preserve">di </w:t>
      </w:r>
      <w:r w:rsidR="00D46354">
        <w:rPr>
          <w:b/>
          <w:sz w:val="24"/>
          <w:szCs w:val="24"/>
        </w:rPr>
        <w:t xml:space="preserve">alcun punteggio </w:t>
      </w:r>
      <w:r w:rsidR="00BB4B80">
        <w:rPr>
          <w:b/>
          <w:sz w:val="24"/>
          <w:szCs w:val="24"/>
        </w:rPr>
        <w:t xml:space="preserve">aggiuntivo legato </w:t>
      </w:r>
      <w:r w:rsidR="00D46354">
        <w:rPr>
          <w:b/>
          <w:sz w:val="24"/>
          <w:szCs w:val="24"/>
        </w:rPr>
        <w:t>ad eventuali offerte economiche migliorative</w:t>
      </w:r>
      <w:r>
        <w:rPr>
          <w:b/>
          <w:sz w:val="24"/>
          <w:szCs w:val="24"/>
        </w:rPr>
        <w:t>.</w:t>
      </w:r>
    </w:p>
    <w:p w:rsidR="00DE79C3" w:rsidRPr="00DE79C3" w:rsidRDefault="00DE79C3" w:rsidP="00BB4B80">
      <w:pPr>
        <w:pStyle w:val="Paragrafoelenco"/>
        <w:ind w:left="360"/>
        <w:jc w:val="both"/>
        <w:rPr>
          <w:b/>
          <w:sz w:val="24"/>
          <w:szCs w:val="24"/>
        </w:rPr>
      </w:pPr>
    </w:p>
    <w:p w:rsidR="00DE79C3" w:rsidRDefault="00DE79C3" w:rsidP="00BB4B8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cappelle perimetrali, le cappelle interne</w:t>
      </w:r>
      <w:r w:rsidR="00EB0E9D">
        <w:rPr>
          <w:sz w:val="24"/>
          <w:szCs w:val="24"/>
        </w:rPr>
        <w:t>,</w:t>
      </w:r>
      <w:r>
        <w:rPr>
          <w:sz w:val="24"/>
          <w:szCs w:val="24"/>
        </w:rPr>
        <w:t xml:space="preserve"> le tombe epigee </w:t>
      </w:r>
      <w:r w:rsidR="00EB0E9D">
        <w:rPr>
          <w:sz w:val="24"/>
          <w:szCs w:val="24"/>
        </w:rPr>
        <w:t xml:space="preserve">e i campi riservati di inumazione </w:t>
      </w:r>
      <w:r>
        <w:rPr>
          <w:sz w:val="24"/>
          <w:szCs w:val="24"/>
        </w:rPr>
        <w:t xml:space="preserve">possono essere realizzate dall’assegnatario </w:t>
      </w:r>
      <w:r w:rsidR="00EB0E9D">
        <w:rPr>
          <w:sz w:val="24"/>
          <w:szCs w:val="24"/>
        </w:rPr>
        <w:t>secondo il proprio gusto estetico o ci sono dei progetti guida elaborati dall’Amministrazione?</w:t>
      </w:r>
    </w:p>
    <w:p w:rsidR="00EB0E9D" w:rsidRDefault="00EB0E9D" w:rsidP="00BB4B80">
      <w:pPr>
        <w:pStyle w:val="Paragrafoelenc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Esistono dei progetti guida</w:t>
      </w:r>
      <w:r w:rsidR="00B40BC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40BC9">
        <w:rPr>
          <w:b/>
          <w:sz w:val="24"/>
          <w:szCs w:val="24"/>
        </w:rPr>
        <w:t xml:space="preserve">e le relative schede tecniche di dettaglio, </w:t>
      </w:r>
      <w:r>
        <w:rPr>
          <w:b/>
          <w:sz w:val="24"/>
          <w:szCs w:val="24"/>
        </w:rPr>
        <w:t>approvati dall’Amministrazione ed allegati alla Delibera di Consiglio Comunale n°53 del 2016</w:t>
      </w:r>
      <w:r w:rsidR="00C63ECD">
        <w:rPr>
          <w:b/>
          <w:sz w:val="24"/>
          <w:szCs w:val="24"/>
        </w:rPr>
        <w:t xml:space="preserve"> </w:t>
      </w:r>
      <w:r w:rsidR="00B40BC9">
        <w:rPr>
          <w:b/>
          <w:sz w:val="24"/>
          <w:szCs w:val="24"/>
        </w:rPr>
        <w:t>ed a questi ci si deve scrupolosamente attenere in sede di presentazione dei singoli elaborati progettuali per l’esecuzione dei lavori</w:t>
      </w:r>
      <w:r w:rsidR="00BB4B80">
        <w:rPr>
          <w:b/>
          <w:sz w:val="24"/>
          <w:szCs w:val="24"/>
        </w:rPr>
        <w:t>.</w:t>
      </w:r>
    </w:p>
    <w:p w:rsidR="00BB4B80" w:rsidRDefault="00BB4B80" w:rsidP="00BB4B80">
      <w:pPr>
        <w:pStyle w:val="Paragrafoelenco"/>
        <w:ind w:left="360"/>
        <w:jc w:val="both"/>
        <w:rPr>
          <w:b/>
          <w:sz w:val="24"/>
          <w:szCs w:val="24"/>
        </w:rPr>
      </w:pPr>
    </w:p>
    <w:p w:rsidR="00C63ECD" w:rsidRDefault="00C63ECD" w:rsidP="00BB4B8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Bando all’articolo 11 bis, punto e), recita </w:t>
      </w:r>
      <w:r w:rsidRPr="00C63ECD">
        <w:rPr>
          <w:i/>
          <w:sz w:val="24"/>
          <w:szCs w:val="24"/>
        </w:rPr>
        <w:t>“un punto per ogni anno o frazione di anno sino ad un massimo di otto punti per tutti i richiedenti che dimostreranno di aver fatto, negli anni precedenti, domanda di concessione per sepoltura analoga a quella richiesta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>; sono valide ai fini dell’attribuzione del punteggio le precedenti istanze presentate da genitori o affini?</w:t>
      </w:r>
    </w:p>
    <w:p w:rsidR="00994F6B" w:rsidRDefault="00C63ECD" w:rsidP="00994F6B">
      <w:pPr>
        <w:pStyle w:val="Paragrafoelenc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Saranno considerate valide, ai fini dell’assegnazione del relativo punteggio, esclusivamente le domande presentate dall’odierno istante o dal proprio coniuge se</w:t>
      </w:r>
      <w:r w:rsidR="00994F6B">
        <w:rPr>
          <w:b/>
          <w:sz w:val="24"/>
          <w:szCs w:val="24"/>
        </w:rPr>
        <w:t>, quest’ultimo, non più in vita.</w:t>
      </w:r>
    </w:p>
    <w:p w:rsidR="00994F6B" w:rsidRDefault="00994F6B" w:rsidP="00994F6B">
      <w:pPr>
        <w:pStyle w:val="Paragrafoelenco"/>
        <w:ind w:left="360"/>
        <w:jc w:val="both"/>
        <w:rPr>
          <w:sz w:val="24"/>
          <w:szCs w:val="24"/>
        </w:rPr>
      </w:pPr>
    </w:p>
    <w:p w:rsidR="00994F6B" w:rsidRDefault="00994F6B" w:rsidP="004971D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Bando all’art. 11 – bis, punto b, attribuisce un punteggio per il trasferimento nella nuova sepoltura, realizzata nell’area richiesta, di salme tumulate in loculi definitivi del civico cimitero; medesimo punteggio sarà attribuito anche in caso</w:t>
      </w:r>
      <w:r w:rsidRPr="00994F6B">
        <w:rPr>
          <w:sz w:val="24"/>
          <w:szCs w:val="24"/>
        </w:rPr>
        <w:t xml:space="preserve"> di trasferimento di </w:t>
      </w:r>
      <w:r>
        <w:rPr>
          <w:sz w:val="24"/>
          <w:szCs w:val="24"/>
        </w:rPr>
        <w:t>resti mortali o urne cinerarie?</w:t>
      </w:r>
    </w:p>
    <w:p w:rsidR="00994F6B" w:rsidRDefault="00994F6B" w:rsidP="004971D1">
      <w:pPr>
        <w:pStyle w:val="Paragrafoelenc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No, il punteggio è attribuito solo ed esclusivamente in caso di trasferimento di salme.</w:t>
      </w:r>
    </w:p>
    <w:p w:rsidR="00994F6B" w:rsidRPr="00A205EC" w:rsidRDefault="00A205EC" w:rsidP="004971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i/>
          <w:color w:val="auto"/>
        </w:rPr>
      </w:pPr>
      <w:r w:rsidRPr="00A205EC">
        <w:rPr>
          <w:rFonts w:asciiTheme="minorHAnsi" w:hAnsiTheme="minorHAnsi" w:cstheme="minorBidi"/>
          <w:color w:val="auto"/>
        </w:rPr>
        <w:t xml:space="preserve">L’art. 88, punto 3 – ultimo capoverso, del Regolamento dei Servizi Funebri e Cimiteriali statuisce che </w:t>
      </w:r>
      <w:r w:rsidRPr="00A205EC">
        <w:rPr>
          <w:rFonts w:asciiTheme="minorHAnsi" w:hAnsiTheme="minorHAnsi" w:cstheme="minorBidi"/>
          <w:i/>
          <w:color w:val="auto"/>
        </w:rPr>
        <w:t>“l’interessato può anche indicare in via subordinata, nel caso in cui l’area richiesta in via principale possa essere assegnata ad altra persona, l’assegnazione di altra area”</w:t>
      </w:r>
      <w:r>
        <w:rPr>
          <w:rFonts w:asciiTheme="minorHAnsi" w:hAnsiTheme="minorHAnsi" w:cstheme="minorBidi"/>
          <w:color w:val="auto"/>
        </w:rPr>
        <w:t>; nella medesima istanza è possibile indicare, in via subordi</w:t>
      </w:r>
      <w:r w:rsidR="00FC43D3">
        <w:rPr>
          <w:rFonts w:asciiTheme="minorHAnsi" w:hAnsiTheme="minorHAnsi" w:cstheme="minorBidi"/>
          <w:color w:val="auto"/>
        </w:rPr>
        <w:t>nata, l’assegnazione di altre aree</w:t>
      </w:r>
      <w:r>
        <w:rPr>
          <w:rFonts w:asciiTheme="minorHAnsi" w:hAnsiTheme="minorHAnsi" w:cstheme="minorBidi"/>
          <w:color w:val="auto"/>
        </w:rPr>
        <w:t xml:space="preserve"> senza versare, anche per quest’ultima, il deposito cauzionale provvisorio pari al 10% del valore della concessione?</w:t>
      </w:r>
    </w:p>
    <w:p w:rsidR="00A205EC" w:rsidRPr="00A205EC" w:rsidRDefault="00A205EC" w:rsidP="004971D1">
      <w:pPr>
        <w:pStyle w:val="Default"/>
        <w:ind w:left="360"/>
        <w:jc w:val="both"/>
        <w:rPr>
          <w:rFonts w:asciiTheme="minorHAnsi" w:hAnsiTheme="minorHAnsi" w:cstheme="minorBidi"/>
          <w:b/>
          <w:i/>
          <w:color w:val="auto"/>
        </w:rPr>
      </w:pPr>
      <w:r>
        <w:rPr>
          <w:rFonts w:asciiTheme="minorHAnsi" w:hAnsiTheme="minorHAnsi" w:cstheme="minorBidi"/>
          <w:b/>
          <w:color w:val="auto"/>
        </w:rPr>
        <w:t>Si, si evidenzia tuttavia che l</w:t>
      </w:r>
      <w:r w:rsidR="004915FD">
        <w:rPr>
          <w:rFonts w:asciiTheme="minorHAnsi" w:hAnsiTheme="minorHAnsi" w:cstheme="minorBidi"/>
          <w:b/>
          <w:color w:val="auto"/>
        </w:rPr>
        <w:t xml:space="preserve">e istanze di </w:t>
      </w:r>
      <w:r>
        <w:rPr>
          <w:rFonts w:asciiTheme="minorHAnsi" w:hAnsiTheme="minorHAnsi" w:cstheme="minorBidi"/>
          <w:b/>
          <w:color w:val="auto"/>
        </w:rPr>
        <w:t>assegnazione delle aree richieste in via subordi</w:t>
      </w:r>
      <w:r w:rsidR="004915FD">
        <w:rPr>
          <w:rFonts w:asciiTheme="minorHAnsi" w:hAnsiTheme="minorHAnsi" w:cstheme="minorBidi"/>
          <w:b/>
          <w:color w:val="auto"/>
        </w:rPr>
        <w:t>nata saranno valutate solo ed esclusivamente successivamente alla definizione della graduatoria delle istanze promosse in via principale per l’assegnazione delle medes</w:t>
      </w:r>
      <w:r w:rsidR="004971D1">
        <w:rPr>
          <w:rFonts w:asciiTheme="minorHAnsi" w:hAnsiTheme="minorHAnsi" w:cstheme="minorBidi"/>
          <w:b/>
          <w:color w:val="auto"/>
        </w:rPr>
        <w:t>ime are</w:t>
      </w:r>
      <w:r w:rsidR="004915FD">
        <w:rPr>
          <w:rFonts w:asciiTheme="minorHAnsi" w:hAnsiTheme="minorHAnsi" w:cstheme="minorBidi"/>
          <w:b/>
          <w:color w:val="auto"/>
        </w:rPr>
        <w:t>e. Delle istanze di assegnazione in via subordinata verrà stilata, per tipologi</w:t>
      </w:r>
      <w:r w:rsidR="004971D1">
        <w:rPr>
          <w:rFonts w:asciiTheme="minorHAnsi" w:hAnsiTheme="minorHAnsi" w:cstheme="minorBidi"/>
          <w:b/>
          <w:color w:val="auto"/>
        </w:rPr>
        <w:t>a di area, apposita graduatoria subordinata all’insufficienza delle istanze in via principale.</w:t>
      </w:r>
      <w:bookmarkStart w:id="0" w:name="_GoBack"/>
      <w:bookmarkEnd w:id="0"/>
    </w:p>
    <w:sectPr w:rsidR="00A205EC" w:rsidRPr="00A20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576A"/>
    <w:multiLevelType w:val="hybridMultilevel"/>
    <w:tmpl w:val="E45888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C"/>
    <w:rsid w:val="00181985"/>
    <w:rsid w:val="001F1D4C"/>
    <w:rsid w:val="001F6B02"/>
    <w:rsid w:val="0021424C"/>
    <w:rsid w:val="0024160D"/>
    <w:rsid w:val="00252112"/>
    <w:rsid w:val="004516AC"/>
    <w:rsid w:val="004915FD"/>
    <w:rsid w:val="004971D1"/>
    <w:rsid w:val="004B3C0D"/>
    <w:rsid w:val="0061606D"/>
    <w:rsid w:val="00617F8C"/>
    <w:rsid w:val="008D42EA"/>
    <w:rsid w:val="008E0141"/>
    <w:rsid w:val="00994F6B"/>
    <w:rsid w:val="00A205EC"/>
    <w:rsid w:val="00B40BC9"/>
    <w:rsid w:val="00BB4B80"/>
    <w:rsid w:val="00C63ECD"/>
    <w:rsid w:val="00C65687"/>
    <w:rsid w:val="00CF2CF8"/>
    <w:rsid w:val="00D46354"/>
    <w:rsid w:val="00DE79C3"/>
    <w:rsid w:val="00EB0E9D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24C"/>
    <w:pPr>
      <w:ind w:left="720"/>
      <w:contextualSpacing/>
    </w:pPr>
  </w:style>
  <w:style w:type="paragraph" w:customStyle="1" w:styleId="Default">
    <w:name w:val="Default"/>
    <w:rsid w:val="00A20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24C"/>
    <w:pPr>
      <w:ind w:left="720"/>
      <w:contextualSpacing/>
    </w:pPr>
  </w:style>
  <w:style w:type="paragraph" w:customStyle="1" w:styleId="Default">
    <w:name w:val="Default"/>
    <w:rsid w:val="00A20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Mannazzu</dc:creator>
  <cp:lastModifiedBy>Luigi Mannazzu</cp:lastModifiedBy>
  <cp:revision>2</cp:revision>
  <cp:lastPrinted>2017-07-25T08:57:00Z</cp:lastPrinted>
  <dcterms:created xsi:type="dcterms:W3CDTF">2017-07-25T10:39:00Z</dcterms:created>
  <dcterms:modified xsi:type="dcterms:W3CDTF">2017-07-25T10:39:00Z</dcterms:modified>
</cp:coreProperties>
</file>